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Уровень 1</w:t>
      </w:r>
    </w:p>
    <w:p w:rsidR="00000000" w:rsidDel="00000000" w:rsidP="00000000" w:rsidRDefault="00000000" w:rsidRPr="00000000" w14:paraId="0000000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Диаграмма - графическое представление данных, позволяющее оценить соотношение нескольких величин. Они могут быть двумерными (плоскостными) или трехмерными (пространственными).</w:t>
      </w:r>
    </w:p>
    <w:p w:rsidR="00000000" w:rsidDel="00000000" w:rsidP="00000000" w:rsidRDefault="00000000" w:rsidRPr="00000000" w14:paraId="00000003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6" w:lineRule="auto"/>
        <w:ind w:left="0" w:right="0" w:firstLine="0"/>
        <w:jc w:val="left"/>
        <w:rPr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Диаграммы-линии или графики представляют данные в виде точек, соединенных прямыми линиями.</w:t>
      </w:r>
    </w:p>
    <w:p w:rsidR="00000000" w:rsidDel="00000000" w:rsidP="00000000" w:rsidRDefault="00000000" w:rsidRPr="00000000" w14:paraId="00000004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6" w:lineRule="auto"/>
        <w:ind w:left="0" w:right="0" w:firstLine="0"/>
        <w:jc w:val="left"/>
        <w:rPr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Столбчатые и линейные диаграммы (гистограммы) используются для сравнения статистических данных и анализа изменений во времени. Представляют данные в виде вертикальных столбцов или горизонтальных полос. Сравниваемые показатели выражены одной единицей измерения.</w:t>
      </w:r>
    </w:p>
    <w:p w:rsidR="00000000" w:rsidDel="00000000" w:rsidP="00000000" w:rsidRDefault="00000000" w:rsidRPr="00000000" w14:paraId="00000005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6" w:lineRule="auto"/>
        <w:ind w:left="0" w:right="0" w:firstLine="0"/>
        <w:jc w:val="left"/>
        <w:rPr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Круговые (секторные) диаграммы используются для отображения структуры статистических совокупностей. Относительная величина каждого значения представлена в виде сектора круга. Площадь сектора соответствует вкладу значения в общую сумму значений.</w:t>
      </w:r>
    </w:p>
    <w:p w:rsidR="00000000" w:rsidDel="00000000" w:rsidP="00000000" w:rsidRDefault="00000000" w:rsidRPr="00000000" w14:paraId="00000006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6" w:lineRule="auto"/>
        <w:ind w:left="0" w:right="0" w:firstLine="0"/>
        <w:jc w:val="left"/>
        <w:rPr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В радиальных или сетчатых диаграммах используются более двух осей. Каждая ось начинается от центра диаграммы и представляет собой отсчет от начала координат. Радиальные диаграммы напоминают сетку или паутину. Позволяют отображать несколько независимых величин, характеризующих общее состояние статистических совокупностей.</w:t>
      </w:r>
    </w:p>
    <w:p w:rsidR="00000000" w:rsidDel="00000000" w:rsidP="00000000" w:rsidRDefault="00000000" w:rsidRPr="00000000" w14:paraId="00000007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6" w:lineRule="auto"/>
        <w:ind w:left="0" w:right="0" w:firstLine="0"/>
        <w:jc w:val="left"/>
        <w:rPr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Таблица – способ передачи содержания, основанный на организации структуры данных с помощью ячеек, каждая из которых имеет номер строки и номер колонки. Связь между элементами, принадлежащими одной строке или одному столбцу, устанавливается через смысловую связь.</w:t>
      </w:r>
    </w:p>
    <w:p w:rsidR="00000000" w:rsidDel="00000000" w:rsidP="00000000" w:rsidRDefault="00000000" w:rsidRPr="00000000" w14:paraId="0000000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Возможности использования:</w:t>
      </w:r>
    </w:p>
    <w:p w:rsidR="00000000" w:rsidDel="00000000" w:rsidP="00000000" w:rsidRDefault="00000000" w:rsidRPr="00000000" w14:paraId="00000009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6" w:lineRule="auto"/>
        <w:ind w:left="0" w:right="0" w:firstLine="0"/>
        <w:jc w:val="left"/>
        <w:rPr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Радиальные диаграммы позволяют визуализировать связь между несколькими независимыми величинами.</w:t>
      </w:r>
    </w:p>
    <w:p w:rsidR="00000000" w:rsidDel="00000000" w:rsidP="00000000" w:rsidRDefault="00000000" w:rsidRPr="00000000" w14:paraId="0000000A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6" w:lineRule="auto"/>
        <w:ind w:left="0" w:right="0" w:firstLine="0"/>
        <w:jc w:val="left"/>
        <w:rPr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Таблицы облегчают структурирование данных и установление связей между элементами.</w:t>
      </w:r>
    </w:p>
    <w:p w:rsidR="00000000" w:rsidDel="00000000" w:rsidP="00000000" w:rsidRDefault="00000000" w:rsidRPr="00000000" w14:paraId="0000000B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6" w:lineRule="auto"/>
        <w:ind w:left="0" w:right="0" w:firstLine="0"/>
        <w:jc w:val="left"/>
        <w:rPr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Различные типы диаграмм предоставляют возможность анализировать данные, отображать тренды, сравнивать показатели и исследовать взаимосвязи между переменными.</w:t>
      </w:r>
    </w:p>
    <w:p w:rsidR="00000000" w:rsidDel="00000000" w:rsidP="00000000" w:rsidRDefault="00000000" w:rsidRPr="00000000" w14:paraId="0000000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Применение подобных инструментов:</w:t>
      </w:r>
    </w:p>
    <w:p w:rsidR="00000000" w:rsidDel="00000000" w:rsidP="00000000" w:rsidRDefault="00000000" w:rsidRPr="00000000" w14:paraId="0000000D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6" w:lineRule="auto"/>
        <w:ind w:left="0" w:right="0" w:firstLine="0"/>
        <w:jc w:val="left"/>
        <w:rPr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Радиальные диаграммы могут быть полезны при анализе сложных структур и отображении связей между независимыми переменными.</w:t>
      </w:r>
    </w:p>
    <w:p w:rsidR="00000000" w:rsidDel="00000000" w:rsidP="00000000" w:rsidRDefault="00000000" w:rsidRPr="00000000" w14:paraId="0000000E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6" w:lineRule="auto"/>
        <w:ind w:left="0" w:right="0" w:firstLine="0"/>
        <w:jc w:val="left"/>
        <w:rPr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Таблицы широко используются в различных областях, таких как бизнес, наука, финансы, образование и другие, для структурирования и анализа данных.</w:t>
      </w:r>
    </w:p>
    <w:p w:rsidR="00000000" w:rsidDel="00000000" w:rsidP="00000000" w:rsidRDefault="00000000" w:rsidRPr="00000000" w14:paraId="0000000F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6" w:lineRule="auto"/>
        <w:ind w:left="0" w:right="0" w:firstLine="0"/>
        <w:jc w:val="left"/>
        <w:rPr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Различные типы диаграмм помогают представить информацию наглядно, выявлять тенденции, сравнивать данные и исследовать взаимосвязи между переменными.</w:t>
      </w:r>
    </w:p>
    <w:p w:rsidR="00000000" w:rsidDel="00000000" w:rsidP="00000000" w:rsidRDefault="00000000" w:rsidRPr="00000000" w14:paraId="0000001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6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5734351" cy="4431171"/>
            <wp:effectExtent b="0" l="0" r="0" t="0"/>
            <wp:docPr descr="https://github.com/ancatmara/DL-Culturology-2018/raw/master/assets/fioslhimport.png" id="16" name="image1.png"/>
            <a:graphic>
              <a:graphicData uri="http://schemas.openxmlformats.org/drawingml/2006/picture">
                <pic:pic>
                  <pic:nvPicPr>
                    <pic:cNvPr descr="https://github.com/ancatmara/DL-Culturology-2018/raw/master/assets/fioslhimport.png" id="0" name="image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351" cy="443117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6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Далее поработаем с несколькими ресурсами, способными создавать облако слов. Начнём с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wordscloud.pythonanywhere.com.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За основу возьмём статью про Турцию, интересные факты о ней, как в ней хорошо и, где часто фигурирует слово Стамбул:</w:t>
      </w:r>
    </w:p>
    <w:p w:rsidR="00000000" w:rsidDel="00000000" w:rsidP="00000000" w:rsidRDefault="00000000" w:rsidRPr="00000000" w14:paraId="0000001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6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4423877" cy="4185522"/>
            <wp:effectExtent b="0" l="0" r="0" t="0"/>
            <wp:docPr id="17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23877" cy="418552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6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Далее – WordArt. На русском он не воспринимал, поэтому предварительно перевёл на английский. Стоит заметить, что здесь также отдельно есть частотность слов, причём там не будет стоп-слов:</w:t>
      </w:r>
    </w:p>
    <w:p w:rsidR="00000000" w:rsidDel="00000000" w:rsidP="00000000" w:rsidRDefault="00000000" w:rsidRPr="00000000" w14:paraId="0000001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6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0115" cy="2286000"/>
            <wp:effectExtent b="0" l="0" r="0" t="0"/>
            <wp:docPr id="14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228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6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Следующий на очереди – Wordcloud.pro.</w:t>
      </w:r>
    </w:p>
    <w:p w:rsidR="00000000" w:rsidDel="00000000" w:rsidP="00000000" w:rsidRDefault="00000000" w:rsidRPr="00000000" w14:paraId="0000001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6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4935709" cy="4918298"/>
            <wp:effectExtent b="0" l="0" r="0" t="0"/>
            <wp:docPr id="18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35709" cy="491829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6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Отмечу, что это были мои аналоги, а теперь поработаю с тем, что представлено в самой лабораторной. Первый – wordclouds.com. На нём также необходимо было сначала перевести текст на английский.</w:t>
      </w:r>
    </w:p>
    <w:p w:rsidR="00000000" w:rsidDel="00000000" w:rsidP="00000000" w:rsidRDefault="00000000" w:rsidRPr="00000000" w14:paraId="0000001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6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049202" cy="5943600"/>
            <wp:effectExtent b="0" l="0" r="0" t="0"/>
            <wp:docPr id="15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49202" cy="594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6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Wordle нужно было скачивать, что, к сожалению, у меня не получилось. Далее – Word It Out. Как и до этого переводим текст и получаем такое бесформенное облако:</w:t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0115" cy="3695700"/>
            <wp:effectExtent b="0" l="0" r="0" t="0"/>
            <wp:docPr id="1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69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6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Следующий сайт запросил некоего Silverlight’a, который по их ссылках скачать было нельзя :)</w:t>
      </w:r>
    </w:p>
    <w:p w:rsidR="00000000" w:rsidDel="00000000" w:rsidP="00000000" w:rsidRDefault="00000000" w:rsidRPr="00000000" w14:paraId="0000001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6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5940425" cy="904240"/>
            <wp:effectExtent b="0" l="0" r="0" t="0"/>
            <wp:docPr id="19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042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6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5940425" cy="1946275"/>
            <wp:effectExtent b="0" l="0" r="0" t="0"/>
            <wp:docPr id="23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46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6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И даже через Google или Firefox ничего не чинилось.</w:t>
      </w:r>
    </w:p>
    <w:p w:rsidR="00000000" w:rsidDel="00000000" w:rsidP="00000000" w:rsidRDefault="00000000" w:rsidRPr="00000000" w14:paraId="0000001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6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Далее сайт наконец-то попался рабочий и ничего не требующий. На Word Cloud by Jason Davies имеем:</w:t>
      </w:r>
    </w:p>
    <w:p w:rsidR="00000000" w:rsidDel="00000000" w:rsidP="00000000" w:rsidRDefault="00000000" w:rsidRPr="00000000" w14:paraId="0000001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6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5718344" cy="5382150"/>
            <wp:effectExtent b="0" l="0" r="0" t="0"/>
            <wp:docPr id="21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18344" cy="5382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6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Следующий – WordArt, но я его вписал в свои, поэтому ещё от себя вместо него добавлю сайт freewordcloudgenerator.com. Хоть сайт вроде и русский, но переводить всё равно приходилось.</w:t>
      </w:r>
    </w:p>
    <w:p w:rsidR="00000000" w:rsidDel="00000000" w:rsidP="00000000" w:rsidRDefault="00000000" w:rsidRPr="00000000" w14:paraId="0000002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6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5940425" cy="5755640"/>
            <wp:effectExtent b="0" l="0" r="0" t="0"/>
            <wp:docPr id="28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7556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6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Я установил stylo. Версия моя – 0.7.4</w:t>
      </w:r>
    </w:p>
    <w:p w:rsidR="00000000" w:rsidDel="00000000" w:rsidP="00000000" w:rsidRDefault="00000000" w:rsidRPr="00000000" w14:paraId="0000002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6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5905500" cy="1533525"/>
            <wp:effectExtent b="0" l="0" r="0" t="0"/>
            <wp:docPr id="24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1533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6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Получили нужное окошко, выдыхаем:</w:t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5495925" cy="3276600"/>
            <wp:effectExtent b="0" l="0" r="0" t="0"/>
            <wp:docPr id="26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95925" cy="327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6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Спустя долгое время разбирательств с тем, что он не искал папку corpus, получаем:</w:t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4870578" cy="5041348"/>
            <wp:effectExtent b="0" l="0" r="0" t="0"/>
            <wp:docPr id="29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70578" cy="504134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6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Всё получилось также буквально, как и в лабораторном примере. Далее “oppose” значит:</w:t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3690133" cy="3682059"/>
            <wp:effectExtent b="0" l="0" r="0" t="0"/>
            <wp:docPr id="30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90133" cy="368205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6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И получаем нечто похожее:</w:t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5007102" cy="5184262"/>
            <wp:effectExtent b="0" l="0" r="0" t="0"/>
            <wp:docPr id="31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07102" cy="51842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6" w:lineRule="auto"/>
        <w:ind w:left="0" w:right="0" w:firstLine="0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6" w:lineRule="auto"/>
        <w:ind w:left="0" w:right="0" w:firstLine="0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6" w:lineRule="auto"/>
        <w:ind w:left="0" w:right="0" w:firstLine="0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6" w:lineRule="auto"/>
        <w:ind w:left="0" w:right="0" w:firstLine="0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6" w:lineRule="auto"/>
        <w:ind w:left="0" w:right="0" w:firstLine="0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6" w:lineRule="auto"/>
        <w:ind w:left="0" w:right="0" w:firstLine="0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6" w:lineRule="auto"/>
        <w:ind w:left="0" w:right="0" w:firstLine="0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6" w:lineRule="auto"/>
        <w:ind w:left="0" w:right="0" w:firstLine="0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6" w:lineRule="auto"/>
        <w:ind w:left="0" w:right="0" w:firstLine="0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6" w:lineRule="auto"/>
        <w:ind w:left="0" w:right="0" w:firstLine="0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6" w:lineRule="auto"/>
        <w:ind w:left="0" w:right="0" w:firstLine="0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6" w:lineRule="auto"/>
        <w:ind w:left="0" w:right="0" w:firstLine="0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6" w:lineRule="auto"/>
        <w:ind w:left="0" w:right="0" w:firstLine="0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6" w:lineRule="auto"/>
        <w:ind w:left="0" w:right="0" w:firstLine="0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6" w:lineRule="auto"/>
        <w:ind w:left="0" w:right="0" w:firstLine="0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6" w:lineRule="auto"/>
        <w:ind w:left="0" w:right="0" w:firstLine="0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6" w:lineRule="auto"/>
        <w:ind w:left="0" w:right="0" w:firstLine="0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6" w:lineRule="auto"/>
        <w:ind w:left="0" w:right="0" w:firstLine="0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6" w:lineRule="auto"/>
        <w:ind w:left="0" w:right="0" w:firstLine="0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6" w:lineRule="auto"/>
        <w:ind w:left="0" w:right="0" w:firstLine="0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6" w:lineRule="auto"/>
        <w:ind w:left="0" w:right="0" w:firstLine="0"/>
        <w:jc w:val="center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Уровень 2</w:t>
      </w:r>
    </w:p>
    <w:p w:rsidR="00000000" w:rsidDel="00000000" w:rsidP="00000000" w:rsidRDefault="00000000" w:rsidRPr="00000000" w14:paraId="0000003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6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Перейдя по ссылке вк вернул мне сообщение о том, что данный ресурс удалён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, но я нашёл аналог и составил следующий граф друзей ВК:</w:t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0115" cy="5232400"/>
            <wp:effectExtent b="0" l="0" r="0" t="0"/>
            <wp:docPr id="2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523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6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Ну очень плохо видно (в оригинале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, если приблизить то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лучше видно), но приглядевшись можно найти определённые связи. Вот какой получится граф, если взять Войну и Мир:</w:t>
      </w:r>
    </w:p>
    <w:p w:rsidR="00000000" w:rsidDel="00000000" w:rsidP="00000000" w:rsidRDefault="00000000" w:rsidRPr="00000000" w14:paraId="0000003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6" w:lineRule="auto"/>
        <w:ind w:left="-1701" w:right="0" w:firstLine="1701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7545407" cy="4033627"/>
            <wp:effectExtent b="0" l="0" r="0" t="0"/>
            <wp:docPr id="32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545407" cy="403362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6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На сайте Coggle сделаем диаграмму на основе понятия “Разумение”:</w:t>
      </w:r>
    </w:p>
    <w:p w:rsidR="00000000" w:rsidDel="00000000" w:rsidP="00000000" w:rsidRDefault="00000000" w:rsidRPr="00000000" w14:paraId="0000004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6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5940425" cy="4600575"/>
            <wp:effectExtent b="0" l="0" r="0" t="0"/>
            <wp:docPr id="33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005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6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Далее – Canva. Сайт,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не смог ознакомиться из-за ограничения использования его в России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6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0115" cy="8585200"/>
            <wp:effectExtent b="0" l="0" r="0" t="0"/>
            <wp:docPr id="13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858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6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6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Следующий сайт Ease.ly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также, как и предыдущий не дает с собой работать, правда уже по другой причине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:</w:t>
      </w:r>
    </w:p>
    <w:p w:rsidR="00000000" w:rsidDel="00000000" w:rsidP="00000000" w:rsidRDefault="00000000" w:rsidRPr="00000000" w14:paraId="0000004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6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0115" cy="2667000"/>
            <wp:effectExtent b="0" l="0" r="0" t="0"/>
            <wp:docPr id="34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266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6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6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6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Следующий – сайт для создания сайтов:</w:t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5940425" cy="3368675"/>
            <wp:effectExtent b="0" l="0" r="0" t="0"/>
            <wp:docPr id="3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68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6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Полностью английский, но за счёт этого удобный. Может чуть ли не сам создать за тебя сайт предлагает много возможностей и уйму шаблонов для будущего сайта.</w:t>
      </w:r>
    </w:p>
    <w:p w:rsidR="00000000" w:rsidDel="00000000" w:rsidP="00000000" w:rsidRDefault="00000000" w:rsidRPr="00000000" w14:paraId="0000004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6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Ну и следующие два – такие же конструкторы сайтов, расскажу немного про их плюсы и минусы.</w:t>
      </w:r>
    </w:p>
    <w:p w:rsidR="00000000" w:rsidDel="00000000" w:rsidP="00000000" w:rsidRDefault="00000000" w:rsidRPr="00000000" w14:paraId="0000004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6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Начнём с Tilda:</w:t>
      </w:r>
    </w:p>
    <w:p w:rsidR="00000000" w:rsidDel="00000000" w:rsidP="00000000" w:rsidRDefault="00000000" w:rsidRPr="00000000" w14:paraId="0000004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6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На сайте довольно понятный интуитивно интерфейс, он на русском, что делает его ещё понятнее, на нём также много готовых шаблонов, которые можно легко настраивать и адаптировать под себя и свои потребности, я даже прочитал, что у них есть адаптивный дизайн, что означает одинаково хорошую, никуда не сдвинутую картинку на всех платформах. Минусы в основном упираются в платную подписку: это всё тот же неполный инструментарий и другие ограничения, однако можно получить поблажку и открыть завесу платных функций, получив пробную подписку.</w:t>
      </w:r>
    </w:p>
    <w:p w:rsidR="00000000" w:rsidDel="00000000" w:rsidP="00000000" w:rsidRDefault="00000000" w:rsidRPr="00000000" w14:paraId="0000004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6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Про второй особо говорить нечего, поработать с ним не удастся, ведь сайт тресёт с пользователя годовую подписку, но здесь можно купить готовый сайт (спасибо, не надо). Ну и ещё он на русском.</w:t>
      </w:r>
    </w:p>
    <w:p w:rsidR="00000000" w:rsidDel="00000000" w:rsidP="00000000" w:rsidRDefault="00000000" w:rsidRPr="00000000" w14:paraId="0000004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6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6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На основе общего списка лемм, упорядоченного по частоте, леммам присваивается ранг. Самое употребительное слово – имеет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ранг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1, следующее – ранг 2 и т.д., редкие слова имеют ранг 10 000 и больше.</w:t>
      </w:r>
    </w:p>
    <w:p w:rsidR="00000000" w:rsidDel="00000000" w:rsidP="00000000" w:rsidRDefault="00000000" w:rsidRPr="00000000" w14:paraId="0000005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6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Относительную частоту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– то, во сколько раз чаще слово встречается в подкорпусе по сравнению с остальными текстами.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6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202122"/>
          <w:sz w:val="24"/>
          <w:szCs w:val="24"/>
          <w:highlight w:val="white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Показатель R (range)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отражает количество сегментов корпуса, в которых встретилось слово.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6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02122"/>
          <w:sz w:val="24"/>
          <w:szCs w:val="24"/>
          <w:highlight w:val="white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202122"/>
          <w:sz w:val="24"/>
          <w:szCs w:val="24"/>
          <w:highlight w:val="white"/>
          <w:u w:val="none"/>
          <w:vertAlign w:val="baseline"/>
          <w:rtl w:val="0"/>
        </w:rPr>
        <w:t xml:space="preserve">Коэффициент Жуайна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02122"/>
          <w:sz w:val="24"/>
          <w:szCs w:val="24"/>
          <w:highlight w:val="white"/>
          <w:u w:val="none"/>
          <w:vertAlign w:val="baseline"/>
          <w:rtl w:val="0"/>
        </w:rPr>
        <w:t xml:space="preserve"> —коэффициент, показывающий, насколько универсально или, наоборот, специализировано применение того или иного слова в текстах различной тематики. Если слово применяется только в текстах определённой узкой тематики, коэффициент Жуайна близок к 0, если же частота словоупотребления примерно одинакова в любом тексте, коэффициент близок к 100. Определяется он формулой:</w:t>
      </w:r>
    </w:p>
    <w:p w:rsidR="00000000" w:rsidDel="00000000" w:rsidP="00000000" w:rsidRDefault="00000000" w:rsidRPr="00000000" w14:paraId="00000054">
      <w:pPr>
        <w:jc w:val="center"/>
        <w:rPr>
          <w:rFonts w:ascii="Cambria Math" w:cs="Cambria Math" w:eastAsia="Cambria Math" w:hAnsi="Cambria Math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m:oMath>
        <m:r>
          <w:rPr>
            <w:rFonts w:ascii="Cambria Math" w:cs="Cambria Math" w:eastAsia="Cambria Math" w:hAnsi="Cambria Math"/>
            <w:b w:val="0"/>
            <w:i w:val="0"/>
            <w:smallCaps w:val="0"/>
            <w:strike w:val="0"/>
            <w:color w:val="000000"/>
            <w:sz w:val="24"/>
            <w:szCs w:val="24"/>
            <w:u w:val="none"/>
            <w:shd w:fill="auto" w:val="clear"/>
            <w:vertAlign w:val="baseline"/>
          </w:rPr>
          <m:t xml:space="preserve">D=100(1-</m:t>
        </m:r>
        <m:f>
          <m:fPr>
            <m:ctrlP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m:ctrlPr>
          </m:fPr>
          <m:num>
            <m: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  <m:t>σ</m:t>
            </m:r>
          </m:num>
          <m:den>
            <m: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  <m:t>μ</m:t>
            </m:r>
            <m:rad>
              <m:radPr>
                <m:degHide m:val="1"/>
                <m:ctrlPr>
                  <w:rPr>
                    <w:rFonts w:ascii="Cambria Math" w:cs="Cambria Math" w:eastAsia="Cambria Math" w:hAnsi="Cambria Math"/>
                    <w:b w:val="0"/>
                    <w:i w:val="0"/>
                    <w:smallCaps w:val="0"/>
                    <w:strike w:val="0"/>
                    <w:color w:val="000000"/>
                    <w:sz w:val="24"/>
                    <w:szCs w:val="24"/>
                    <w:u w:val="none"/>
                    <w:shd w:fill="auto" w:val="clear"/>
                    <w:vertAlign w:val="baseline"/>
                  </w:rPr>
                </m:ctrlPr>
              </m:radPr>
              <m:e>
                <m:r>
                  <w:rPr>
                    <w:rFonts w:ascii="Cambria Math" w:cs="Cambria Math" w:eastAsia="Cambria Math" w:hAnsi="Cambria Math"/>
                    <w:b w:val="0"/>
                    <w:i w:val="0"/>
                    <w:smallCaps w:val="0"/>
                    <w:strike w:val="0"/>
                    <w:color w:val="000000"/>
                    <w:sz w:val="24"/>
                    <w:szCs w:val="24"/>
                    <w:u w:val="none"/>
                    <w:shd w:fill="auto" w:val="clear"/>
                    <w:vertAlign w:val="baseline"/>
                  </w:rPr>
                  <m:t xml:space="preserve">n-1</m:t>
                </m:r>
              </m:e>
            </m:rad>
          </m:den>
        </m:f>
        <m:r>
          <w:rPr>
            <w:rFonts w:ascii="Cambria Math" w:cs="Cambria Math" w:eastAsia="Cambria Math" w:hAnsi="Cambria Math"/>
            <w:b w:val="0"/>
            <w:i w:val="0"/>
            <w:smallCaps w:val="0"/>
            <w:strike w:val="0"/>
            <w:color w:val="000000"/>
            <w:sz w:val="24"/>
            <w:szCs w:val="24"/>
            <w:u w:val="none"/>
            <w:shd w:fill="auto" w:val="clear"/>
            <w:vertAlign w:val="baseline"/>
          </w:rPr>
          <m:t xml:space="preserve">)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6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ARF (Average Reduced Frequency)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– среднее значение количества сегментов, содержащих слово w хотя бы раз.</w:t>
      </w:r>
    </w:p>
    <w:p w:rsidR="00000000" w:rsidDel="00000000" w:rsidP="00000000" w:rsidRDefault="00000000" w:rsidRPr="00000000" w14:paraId="0000005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6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highlight w:val="white"/>
          <w:u w:val="none"/>
          <w:vertAlign w:val="baseline"/>
          <w:rtl w:val="0"/>
        </w:rPr>
        <w:t xml:space="preserve">Логарифмическая функция правдоподобия / мера правдоподобия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highlight w:val="white"/>
          <w:u w:val="none"/>
          <w:vertAlign w:val="baseline"/>
          <w:rtl w:val="0"/>
        </w:rPr>
        <w:t xml:space="preserve"> – мера статистической значимости, которая используется в корпусном анализе, например, для анализа коллокаций или ключевых слов. Этот показатель сравнивает наблюдаемые и ожидаемые значения для двух наборов данных, однако использует другую формулу: G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highlight w:val="white"/>
          <w:u w:val="none"/>
          <w:vertAlign w:val="superscript"/>
          <w:rtl w:val="0"/>
        </w:rPr>
        <w:t xml:space="preserve">2</w:t>
      </w:r>
      <w:r w:rsidDel="00000000" w:rsidR="00000000" w:rsidRPr="00000000">
        <w:rPr>
          <w:rFonts w:ascii="Gungsuh" w:cs="Gungsuh" w:eastAsia="Gungsuh" w:hAnsi="Gungsuh"/>
          <w:b w:val="0"/>
          <w:i w:val="0"/>
          <w:smallCaps w:val="0"/>
          <w:strike w:val="0"/>
          <w:color w:val="000000"/>
          <w:sz w:val="24"/>
          <w:szCs w:val="24"/>
          <w:highlight w:val="white"/>
          <w:u w:val="none"/>
          <w:vertAlign w:val="baseline"/>
          <w:rtl w:val="0"/>
        </w:rPr>
        <w:t xml:space="preserve">=2∑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4"/>
          <w:szCs w:val="24"/>
          <w:highlight w:val="white"/>
          <w:u w:val="none"/>
          <w:vertAlign w:val="baseline"/>
          <w:rtl w:val="0"/>
        </w:rPr>
        <w:t xml:space="preserve">x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4"/>
          <w:szCs w:val="24"/>
          <w:highlight w:val="white"/>
          <w:u w:val="none"/>
          <w:vertAlign w:val="subscript"/>
          <w:rtl w:val="0"/>
        </w:rPr>
        <w:t xml:space="preserve">ij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highlight w:val="white"/>
          <w:u w:val="none"/>
          <w:vertAlign w:val="baseline"/>
          <w:rtl w:val="0"/>
        </w:rPr>
        <w:t xml:space="preserve"> (log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4"/>
          <w:szCs w:val="24"/>
          <w:highlight w:val="white"/>
          <w:u w:val="none"/>
          <w:vertAlign w:val="subscript"/>
          <w:rtl w:val="0"/>
        </w:rPr>
        <w:t xml:space="preserve">e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4"/>
          <w:szCs w:val="24"/>
          <w:highlight w:val="white"/>
          <w:u w:val="none"/>
          <w:vertAlign w:val="baseline"/>
          <w:rtl w:val="0"/>
        </w:rPr>
        <w:t xml:space="preserve">x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4"/>
          <w:szCs w:val="24"/>
          <w:highlight w:val="white"/>
          <w:u w:val="none"/>
          <w:vertAlign w:val="subscript"/>
          <w:rtl w:val="0"/>
        </w:rPr>
        <w:t xml:space="preserve">ij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highlight w:val="white"/>
          <w:u w:val="none"/>
          <w:vertAlign w:val="baseline"/>
          <w:rtl w:val="0"/>
        </w:rPr>
        <w:t xml:space="preserve">—log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4"/>
          <w:szCs w:val="24"/>
          <w:highlight w:val="white"/>
          <w:u w:val="none"/>
          <w:vertAlign w:val="subscript"/>
          <w:rtl w:val="0"/>
        </w:rPr>
        <w:t xml:space="preserve">e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4"/>
          <w:szCs w:val="24"/>
          <w:highlight w:val="white"/>
          <w:u w:val="none"/>
          <w:vertAlign w:val="baseline"/>
          <w:rtl w:val="0"/>
        </w:rPr>
        <w:t xml:space="preserve">m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4"/>
          <w:szCs w:val="24"/>
          <w:highlight w:val="white"/>
          <w:u w:val="none"/>
          <w:vertAlign w:val="subscript"/>
          <w:rtl w:val="0"/>
        </w:rPr>
        <w:t xml:space="preserve">ij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4"/>
          <w:szCs w:val="24"/>
          <w:highlight w:val="white"/>
          <w:u w:val="none"/>
          <w:vertAlign w:val="baseline"/>
          <w:rtl w:val="0"/>
        </w:rPr>
        <w:t xml:space="preserve">)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highlight w:val="white"/>
          <w:u w:val="none"/>
          <w:vertAlign w:val="baseline"/>
          <w:rtl w:val="0"/>
        </w:rPr>
        <w:t xml:space="preserve">, где 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4"/>
          <w:szCs w:val="24"/>
          <w:highlight w:val="white"/>
          <w:u w:val="none"/>
          <w:vertAlign w:val="baseline"/>
          <w:rtl w:val="0"/>
        </w:rPr>
        <w:t xml:space="preserve">x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4"/>
          <w:szCs w:val="24"/>
          <w:highlight w:val="white"/>
          <w:u w:val="none"/>
          <w:vertAlign w:val="subscript"/>
          <w:rtl w:val="0"/>
        </w:rPr>
        <w:t xml:space="preserve">ij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highlight w:val="white"/>
          <w:u w:val="none"/>
          <w:vertAlign w:val="baseline"/>
          <w:rtl w:val="0"/>
        </w:rPr>
        <w:t xml:space="preserve"> – это наблюдаемая частота, а 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4"/>
          <w:szCs w:val="24"/>
          <w:highlight w:val="white"/>
          <w:u w:val="none"/>
          <w:vertAlign w:val="baseline"/>
          <w:rtl w:val="0"/>
        </w:rPr>
        <w:t xml:space="preserve">m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4"/>
          <w:szCs w:val="24"/>
          <w:highlight w:val="white"/>
          <w:u w:val="none"/>
          <w:vertAlign w:val="subscript"/>
          <w:rtl w:val="0"/>
        </w:rPr>
        <w:t xml:space="preserve">ij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highlight w:val="white"/>
          <w:u w:val="none"/>
          <w:vertAlign w:val="baseline"/>
          <w:rtl w:val="0"/>
        </w:rPr>
        <w:t xml:space="preserve"> – ожидаемая частота. Например, для определения степени связанности частей той или иной коллокации в качестве ожидаемой частоты мы указываем абсолютные частоты каждого из коллокатов в корпусе, а в качестве наблюдаемой – частоту данной коллокации.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6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02122"/>
          <w:sz w:val="24"/>
          <w:szCs w:val="24"/>
          <w:highlight w:val="white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202122"/>
          <w:sz w:val="24"/>
          <w:szCs w:val="24"/>
          <w:highlight w:val="white"/>
          <w:u w:val="none"/>
          <w:vertAlign w:val="baseline"/>
          <w:rtl w:val="0"/>
        </w:rPr>
        <w:t xml:space="preserve">Дивергенция Йенсена — Шеннона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02122"/>
          <w:sz w:val="24"/>
          <w:szCs w:val="24"/>
          <w:highlight w:val="white"/>
          <w:u w:val="none"/>
          <w:vertAlign w:val="baseline"/>
          <w:rtl w:val="0"/>
        </w:rPr>
        <w:t xml:space="preserve"> — это метод измерения похожести двух 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highlight w:val="white"/>
          <w:u w:val="none"/>
          <w:vertAlign w:val="baseline"/>
          <w:rtl w:val="0"/>
        </w:rPr>
        <w:t xml:space="preserve">распределений вероятностей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02122"/>
          <w:sz w:val="24"/>
          <w:szCs w:val="24"/>
          <w:highlight w:val="white"/>
          <w:u w:val="none"/>
          <w:vertAlign w:val="baseline"/>
          <w:rtl w:val="0"/>
        </w:rPr>
        <w:t xml:space="preserve">. Она известна также как информационный радиус или полное отклонение от среднего. Дивергенция базируется на 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highlight w:val="white"/>
          <w:u w:val="none"/>
          <w:vertAlign w:val="baseline"/>
          <w:rtl w:val="0"/>
        </w:rPr>
        <w:t xml:space="preserve">дивергенции Кульбака — Лейблера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02122"/>
          <w:sz w:val="24"/>
          <w:szCs w:val="24"/>
          <w:highlight w:val="white"/>
          <w:u w:val="none"/>
          <w:vertAlign w:val="baseline"/>
          <w:rtl w:val="0"/>
        </w:rPr>
        <w:t xml:space="preserve"> с некоторыми существенными (и полезными) отличиями, среди которых, что она симметрична и всегда имеет конечное значение. Квадратный корень из дивергенции Йенсена — Шеннона является 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highlight w:val="white"/>
          <w:u w:val="none"/>
          <w:vertAlign w:val="baseline"/>
          <w:rtl w:val="0"/>
        </w:rPr>
        <w:t xml:space="preserve">метрикой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02122"/>
          <w:sz w:val="24"/>
          <w:szCs w:val="24"/>
          <w:highlight w:val="white"/>
          <w:u w:val="none"/>
          <w:vertAlign w:val="baseline"/>
          <w:rtl w:val="0"/>
        </w:rPr>
        <w:t xml:space="preserve">, которая часто упоминается как расстояние Йенсена — Шеннона.</w:t>
      </w:r>
    </w:p>
    <w:p w:rsidR="00000000" w:rsidDel="00000000" w:rsidP="00000000" w:rsidRDefault="00000000" w:rsidRPr="00000000" w14:paraId="0000005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Основная математическая зависимость глоттохронологии:</w:t>
      </w:r>
    </w:p>
    <w:p w:rsidR="00000000" w:rsidDel="00000000" w:rsidP="00000000" w:rsidRDefault="00000000" w:rsidRPr="00000000" w14:paraId="0000005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N(t)= N{0}e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vertAlign w:val="superscript"/>
          <w:rtl w:val="0"/>
        </w:rPr>
        <w:t xml:space="preserve">-{l}t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5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где время, прошедшее от начала момента развития до некоторого последующего момента обозначается как t (и измеряется в тысячелетиях); N{0} есть исходный ОС; {l} есть "скорость выпадения" слов из N{0}; и N(t) есть доля слов исходного ОС, сохранившихся к моменту t. Зная коэффициент {l} и долю слов, сохранившихся в данном языке из списка ОС, мы можем вычислить длину прошедшего промежутка времени:</w:t>
      </w:r>
    </w:p>
    <w:p w:rsidR="00000000" w:rsidDel="00000000" w:rsidP="00000000" w:rsidRDefault="00000000" w:rsidRPr="00000000" w14:paraId="0000005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t=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0" distT="0" distL="114300" distR="114300">
            <wp:extent cx="485775" cy="428625"/>
            <wp:effectExtent b="0" l="0" r="0" t="0"/>
            <wp:docPr id="4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5775" cy="428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Доля слов из ОС, сохранившихся в двух языках, будет составлять соответственно:</w:t>
      </w:r>
    </w:p>
    <w:p w:rsidR="00000000" w:rsidDel="00000000" w:rsidP="00000000" w:rsidRDefault="00000000" w:rsidRPr="00000000" w14:paraId="0000005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N{2}(t)=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0" distT="0" distL="114300" distR="114300">
            <wp:extent cx="466725" cy="238125"/>
            <wp:effectExtent b="0" l="0" r="0" t="0"/>
            <wp:docPr id="5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6725" cy="238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, </w:t>
      </w:r>
    </w:p>
    <w:p w:rsidR="00000000" w:rsidDel="00000000" w:rsidP="00000000" w:rsidRDefault="00000000" w:rsidRPr="00000000" w14:paraId="0000005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а время, разделяющее их, будет вычисляться как: </w:t>
      </w:r>
    </w:p>
    <w:p w:rsidR="00000000" w:rsidDel="00000000" w:rsidP="00000000" w:rsidRDefault="00000000" w:rsidRPr="00000000" w14:paraId="0000005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t=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0" distT="0" distL="114300" distR="114300">
            <wp:extent cx="542925" cy="428625"/>
            <wp:effectExtent b="0" l="0" r="0" t="0"/>
            <wp:docPr id="6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2925" cy="428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Переформулировка основной зависимости глоттохронологии в следующем виде (обозначим для простоты N(t) как c, а N{0} примем за единицу, поскольку мы имеем дело именно со стословным списком):</w:t>
      </w:r>
    </w:p>
    <w:p w:rsidR="00000000" w:rsidDel="00000000" w:rsidP="00000000" w:rsidRDefault="00000000" w:rsidRPr="00000000" w14:paraId="0000006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c=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0" distT="0" distL="114300" distR="114300">
            <wp:extent cx="342900" cy="228600"/>
            <wp:effectExtent b="0" l="0" r="0" t="0"/>
            <wp:docPr id="7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2900" cy="22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Для двух языков будем иметь: </w:t>
      </w:r>
    </w:p>
    <w:p w:rsidR="00000000" w:rsidDel="00000000" w:rsidP="00000000" w:rsidRDefault="00000000" w:rsidRPr="00000000" w14:paraId="0000006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c=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0" distT="0" distL="114300" distR="114300">
            <wp:extent cx="466725" cy="238125"/>
            <wp:effectExtent b="0" l="0" r="0" t="0"/>
            <wp:docPr id="8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6725" cy="238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Соответственно, время разделения двух языков будет вычисляться как: </w:t>
      </w:r>
    </w:p>
    <w:p w:rsidR="00000000" w:rsidDel="00000000" w:rsidP="00000000" w:rsidRDefault="00000000" w:rsidRPr="00000000" w14:paraId="0000006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t=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0" distT="0" distL="114300" distR="114300">
            <wp:extent cx="657225" cy="466725"/>
            <wp:effectExtent b="0" l="0" r="0" t="0"/>
            <wp:docPr id="9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7225" cy="466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06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Эта формула, очевидно, является аппроксимацией сложной математической зависимости, учитывающей индивидуальные вероятности выпадения каждого отдельного слова в ОС; она, однако, довольно хорошо работает на всем известном нам языковом материале при принятии {l} = 0,05.</w:t>
      </w:r>
    </w:p>
    <w:p w:rsidR="00000000" w:rsidDel="00000000" w:rsidP="00000000" w:rsidRDefault="00000000" w:rsidRPr="00000000" w14:paraId="0000006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Далее – лингвоанализатор. Прогоним через него Толстого “Семейное счастье”:</w:t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0" distT="0" distL="0" distR="0">
            <wp:extent cx="5940425" cy="2404745"/>
            <wp:effectExtent b="0" l="0" r="0" t="0"/>
            <wp:docPr id="10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047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ind w:firstLine="72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После я познакомился с сайтом, способным найти потерянного автора:</w:t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0" distT="0" distL="0" distR="0">
            <wp:extent cx="5940425" cy="5986780"/>
            <wp:effectExtent b="0" l="0" r="0" t="0"/>
            <wp:docPr id="11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9867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Инструментарий для пользователя я не нашёл, но ознакомился с понятием “Аттрибуция” и понял, что, как и писалось выше, сайт создавался для того, чтобы искать авторов произведений и развеивать мифы о приписанных кому-либо лишних работах.</w:t>
      </w:r>
    </w:p>
    <w:p w:rsidR="00000000" w:rsidDel="00000000" w:rsidP="00000000" w:rsidRDefault="00000000" w:rsidRPr="00000000" w14:paraId="0000006A">
      <w:pPr>
        <w:ind w:firstLine="72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Следом идёт статья Георгия Старостина о лексикостатистики и глоттохронологии.</w:t>
      </w:r>
    </w:p>
    <w:p w:rsidR="00000000" w:rsidDel="00000000" w:rsidP="00000000" w:rsidRDefault="00000000" w:rsidRPr="00000000" w14:paraId="0000006B">
      <w:pPr>
        <w:ind w:firstLine="72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0" distT="0" distL="0" distR="0">
            <wp:extent cx="5077734" cy="7316713"/>
            <wp:effectExtent b="0" l="0" r="0" t="0"/>
            <wp:docPr id="12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77734" cy="73167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>
          <w:rFonts w:ascii="Times New Roman" w:cs="Times New Roman" w:eastAsia="Times New Roman" w:hAnsi="Times New Roman"/>
          <w:color w:val="333333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333333"/>
          <w:sz w:val="24"/>
          <w:szCs w:val="24"/>
          <w:highlight w:val="white"/>
          <w:rtl w:val="0"/>
        </w:rPr>
        <w:t xml:space="preserve">Метод определения относительной близости родственных языков друг к другу называется лексикостатистикой. А глоттохронология – это методология изучения и классификации языков, основанная на предположении о том, что базисная лексика языков изменяется с относительно постоянной скоростью.</w:t>
      </w:r>
    </w:p>
    <w:p w:rsidR="00000000" w:rsidDel="00000000" w:rsidP="00000000" w:rsidRDefault="00000000" w:rsidRPr="00000000" w14:paraId="0000006D">
      <w:pPr>
        <w:rPr>
          <w:rFonts w:ascii="Times New Roman" w:cs="Times New Roman" w:eastAsia="Times New Roman" w:hAnsi="Times New Roman"/>
          <w:color w:val="333333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333333"/>
          <w:sz w:val="24"/>
          <w:szCs w:val="24"/>
          <w:highlight w:val="white"/>
          <w:rtl w:val="0"/>
        </w:rPr>
        <w:t xml:space="preserve">Следующий ресурс:</w:t>
      </w:r>
    </w:p>
    <w:p w:rsidR="00000000" w:rsidDel="00000000" w:rsidP="00000000" w:rsidRDefault="00000000" w:rsidRPr="00000000" w14:paraId="0000006E">
      <w:pPr>
        <w:ind w:left="-1701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0" distT="0" distL="0" distR="0">
            <wp:extent cx="7580022" cy="3869012"/>
            <wp:effectExtent b="0" l="0" r="0" t="0"/>
            <wp:docPr id="20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580022" cy="38690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Представляет из себя библиотеку определённых текстов, которая не обновлялась с 2013 года.</w:t>
      </w:r>
    </w:p>
    <w:p w:rsidR="00000000" w:rsidDel="00000000" w:rsidP="00000000" w:rsidRDefault="00000000" w:rsidRPr="00000000" w14:paraId="00000070">
      <w:pPr>
        <w:ind w:left="-1560" w:firstLine="15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Далее:</w:t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0" distT="0" distL="0" distR="0">
            <wp:extent cx="7590333" cy="5621958"/>
            <wp:effectExtent b="0" l="0" r="0" t="0"/>
            <wp:docPr id="22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590333" cy="562195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Выше представлен знакомый нам словарь частотных лемм, мы и сами его создавали, а теперь перед нами такой же, но на основе НКРЯ.</w:t>
      </w:r>
    </w:p>
    <w:p w:rsidR="00000000" w:rsidDel="00000000" w:rsidP="00000000" w:rsidRDefault="00000000" w:rsidRPr="00000000" w14:paraId="0000007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Дальше нас встречает тоже словарь частотных лемм, но с большим количеством информации:</w:t>
      </w:r>
    </w:p>
    <w:p w:rsidR="00000000" w:rsidDel="00000000" w:rsidP="00000000" w:rsidRDefault="00000000" w:rsidRPr="00000000" w14:paraId="00000073">
      <w:pPr>
        <w:ind w:left="-1701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0" distT="0" distL="0" distR="0">
            <wp:extent cx="7572446" cy="4090174"/>
            <wp:effectExtent b="0" l="0" r="0" t="0"/>
            <wp:docPr id="25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572446" cy="409017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И схожий с двумя предыдущими ресурсами сайт Морфер:</w:t>
        <w:br w:type="textWrapping"/>
      </w:r>
      <w:r w:rsidDel="00000000" w:rsidR="00000000" w:rsidRPr="00000000">
        <w:rPr/>
        <w:drawing>
          <wp:inline distB="0" distT="0" distL="0" distR="0">
            <wp:extent cx="4822621" cy="9070037"/>
            <wp:effectExtent b="0" l="0" r="0" t="0"/>
            <wp:docPr id="27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22621" cy="90700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6838" w:w="11906" w:orient="portrait"/>
      <w:pgMar w:bottom="1134" w:top="1134" w:left="1701" w:right="850" w:header="708" w:footer="708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Georgia"/>
  <w:font w:name="Times New Roman"/>
  <w:font w:name="Gungsuh"/>
  <w:font w:name="Courier New"/>
  <w:font w:name="Noto Sans Symbols">
    <w:embedRegular w:fontKey="{00000000-0000-0000-0000-000000000000}" r:id="rId1" w:subsetted="0"/>
    <w:embedBold w:fontKey="{00000000-0000-0000-0000-000000000000}" r:id="rId2" w:subsetted="0"/>
  </w:font>
  <w:font w:name="Cambria Math">
    <w:embedRegular w:fontKey="{00000000-0000-0000-0000-000000000000}" r:id="rId3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libri" w:cs="Calibri" w:eastAsia="Calibri" w:hAnsi="Calibri"/>
        <w:sz w:val="22"/>
        <w:szCs w:val="22"/>
        <w:lang w:val="ru-RU"/>
      </w:rPr>
    </w:rPrDefault>
    <w:pPrDefault>
      <w:pPr>
        <w:spacing w:after="160" w:line="25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25.png"/><Relationship Id="rId22" Type="http://schemas.openxmlformats.org/officeDocument/2006/relationships/image" Target="media/image32.png"/><Relationship Id="rId21" Type="http://schemas.openxmlformats.org/officeDocument/2006/relationships/image" Target="media/image9.png"/><Relationship Id="rId24" Type="http://schemas.openxmlformats.org/officeDocument/2006/relationships/image" Target="media/image10.png"/><Relationship Id="rId23" Type="http://schemas.openxmlformats.org/officeDocument/2006/relationships/image" Target="media/image23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9.png"/><Relationship Id="rId26" Type="http://schemas.openxmlformats.org/officeDocument/2006/relationships/image" Target="media/image24.png"/><Relationship Id="rId25" Type="http://schemas.openxmlformats.org/officeDocument/2006/relationships/image" Target="media/image33.png"/><Relationship Id="rId28" Type="http://schemas.openxmlformats.org/officeDocument/2006/relationships/image" Target="media/image18.png"/><Relationship Id="rId27" Type="http://schemas.openxmlformats.org/officeDocument/2006/relationships/image" Target="media/image6.png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29" Type="http://schemas.openxmlformats.org/officeDocument/2006/relationships/image" Target="media/image7.png"/><Relationship Id="rId7" Type="http://schemas.openxmlformats.org/officeDocument/2006/relationships/image" Target="media/image5.png"/><Relationship Id="rId8" Type="http://schemas.openxmlformats.org/officeDocument/2006/relationships/image" Target="media/image16.png"/><Relationship Id="rId31" Type="http://schemas.openxmlformats.org/officeDocument/2006/relationships/image" Target="media/image11.png"/><Relationship Id="rId30" Type="http://schemas.openxmlformats.org/officeDocument/2006/relationships/image" Target="media/image2.png"/><Relationship Id="rId11" Type="http://schemas.openxmlformats.org/officeDocument/2006/relationships/image" Target="media/image15.png"/><Relationship Id="rId33" Type="http://schemas.openxmlformats.org/officeDocument/2006/relationships/image" Target="media/image21.png"/><Relationship Id="rId10" Type="http://schemas.openxmlformats.org/officeDocument/2006/relationships/image" Target="media/image28.png"/><Relationship Id="rId32" Type="http://schemas.openxmlformats.org/officeDocument/2006/relationships/image" Target="media/image4.png"/><Relationship Id="rId13" Type="http://schemas.openxmlformats.org/officeDocument/2006/relationships/image" Target="media/image20.png"/><Relationship Id="rId35" Type="http://schemas.openxmlformats.org/officeDocument/2006/relationships/image" Target="media/image17.png"/><Relationship Id="rId12" Type="http://schemas.openxmlformats.org/officeDocument/2006/relationships/image" Target="media/image8.png"/><Relationship Id="rId34" Type="http://schemas.openxmlformats.org/officeDocument/2006/relationships/image" Target="media/image12.png"/><Relationship Id="rId15" Type="http://schemas.openxmlformats.org/officeDocument/2006/relationships/image" Target="media/image34.png"/><Relationship Id="rId37" Type="http://schemas.openxmlformats.org/officeDocument/2006/relationships/image" Target="media/image14.png"/><Relationship Id="rId14" Type="http://schemas.openxmlformats.org/officeDocument/2006/relationships/image" Target="media/image13.png"/><Relationship Id="rId36" Type="http://schemas.openxmlformats.org/officeDocument/2006/relationships/image" Target="media/image3.png"/><Relationship Id="rId17" Type="http://schemas.openxmlformats.org/officeDocument/2006/relationships/image" Target="media/image26.png"/><Relationship Id="rId39" Type="http://schemas.openxmlformats.org/officeDocument/2006/relationships/image" Target="media/image31.png"/><Relationship Id="rId16" Type="http://schemas.openxmlformats.org/officeDocument/2006/relationships/image" Target="media/image22.png"/><Relationship Id="rId38" Type="http://schemas.openxmlformats.org/officeDocument/2006/relationships/image" Target="media/image27.png"/><Relationship Id="rId19" Type="http://schemas.openxmlformats.org/officeDocument/2006/relationships/image" Target="media/image29.png"/><Relationship Id="rId18" Type="http://schemas.openxmlformats.org/officeDocument/2006/relationships/image" Target="media/image30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NotoSansSymbols-regular.ttf"/><Relationship Id="rId2" Type="http://schemas.openxmlformats.org/officeDocument/2006/relationships/font" Target="fonts/NotoSansSymbols-bold.ttf"/><Relationship Id="rId3" Type="http://schemas.openxmlformats.org/officeDocument/2006/relationships/font" Target="fonts/CambriaMath-regular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